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F06E" w14:textId="77777777" w:rsidR="00F203F3" w:rsidRDefault="00F203F3" w:rsidP="00F203F3">
      <w:pPr>
        <w:jc w:val="center"/>
        <w:rPr>
          <w:rFonts w:asciiTheme="minorHAnsi" w:hAnsiTheme="minorHAnsi"/>
          <w:b/>
          <w:sz w:val="28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u w:val="single"/>
        </w:rPr>
        <w:t>4</w:t>
      </w:r>
      <w:r w:rsidRPr="000E0760">
        <w:rPr>
          <w:rFonts w:asciiTheme="minorHAnsi" w:hAnsiTheme="minorHAnsi"/>
          <w:b/>
          <w:sz w:val="28"/>
          <w:u w:val="single"/>
          <w:vertAlign w:val="superscript"/>
        </w:rPr>
        <w:t>th</w:t>
      </w:r>
      <w:r>
        <w:rPr>
          <w:rFonts w:asciiTheme="minorHAnsi" w:hAnsiTheme="minorHAnsi"/>
          <w:b/>
          <w:sz w:val="28"/>
          <w:u w:val="single"/>
        </w:rPr>
        <w:t xml:space="preserve"> National Climate Assessment</w:t>
      </w:r>
    </w:p>
    <w:p w14:paraId="05A4861B" w14:textId="77777777" w:rsidR="00F203F3" w:rsidRPr="000E0760" w:rsidRDefault="00F203F3" w:rsidP="00F203F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Northwe</w:t>
      </w:r>
      <w:r w:rsidRPr="008D7440">
        <w:rPr>
          <w:rFonts w:asciiTheme="minorHAnsi" w:hAnsiTheme="minorHAnsi"/>
          <w:b/>
          <w:sz w:val="28"/>
          <w:u w:val="single"/>
        </w:rPr>
        <w:t xml:space="preserve">st Regional Engagement Workshop </w:t>
      </w:r>
    </w:p>
    <w:p w14:paraId="13B95AA1" w14:textId="77777777" w:rsidR="00F203F3" w:rsidRPr="008D7440" w:rsidRDefault="00F203F3" w:rsidP="00F203F3">
      <w:pPr>
        <w:rPr>
          <w:rFonts w:asciiTheme="minorHAnsi" w:hAnsiTheme="minorHAnsi"/>
          <w:b/>
        </w:rPr>
      </w:pPr>
    </w:p>
    <w:p w14:paraId="528DB314" w14:textId="77777777" w:rsidR="00F203F3" w:rsidRPr="00296FD8" w:rsidRDefault="00F203F3" w:rsidP="00F203F3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Thursday, March 23 (Boise, ID)</w:t>
      </w:r>
    </w:p>
    <w:p w14:paraId="6C14416A" w14:textId="77777777" w:rsidR="00F203F3" w:rsidRPr="00296FD8" w:rsidRDefault="00F203F3" w:rsidP="00F203F3">
      <w:pPr>
        <w:jc w:val="center"/>
        <w:rPr>
          <w:rFonts w:asciiTheme="minorHAnsi" w:hAnsiTheme="minorHAnsi"/>
          <w:b/>
          <w:sz w:val="28"/>
        </w:rPr>
      </w:pPr>
    </w:p>
    <w:p w14:paraId="601E6389" w14:textId="77777777" w:rsidR="00F203F3" w:rsidRPr="00296FD8" w:rsidRDefault="00F203F3" w:rsidP="00F203F3">
      <w:pPr>
        <w:rPr>
          <w:rFonts w:asciiTheme="minorHAnsi" w:hAnsiTheme="minorHAnsi"/>
          <w:sz w:val="28"/>
        </w:rPr>
      </w:pPr>
      <w:r w:rsidRPr="00296FD8">
        <w:rPr>
          <w:rFonts w:asciiTheme="minorHAnsi" w:hAnsiTheme="minorHAnsi"/>
          <w:b/>
          <w:sz w:val="28"/>
        </w:rPr>
        <w:t xml:space="preserve">Objective: </w:t>
      </w:r>
      <w:r w:rsidRPr="00296FD8">
        <w:rPr>
          <w:rFonts w:asciiTheme="minorHAnsi" w:hAnsiTheme="minorHAnsi"/>
          <w:sz w:val="28"/>
        </w:rPr>
        <w:t>To gather input from a diverse array of sta</w:t>
      </w:r>
      <w:r>
        <w:rPr>
          <w:rFonts w:asciiTheme="minorHAnsi" w:hAnsiTheme="minorHAnsi"/>
          <w:sz w:val="28"/>
        </w:rPr>
        <w:t>keholders throughout the Northwest to inform the Northwe</w:t>
      </w:r>
      <w:r w:rsidRPr="00296FD8">
        <w:rPr>
          <w:rFonts w:asciiTheme="minorHAnsi" w:hAnsiTheme="minorHAnsi"/>
          <w:sz w:val="28"/>
        </w:rPr>
        <w:t>st (and related) chapters of NCA4, and to make the stakeholder community aware of the process and timeline for the development of NCA4.</w:t>
      </w:r>
    </w:p>
    <w:p w14:paraId="08DD6B7F" w14:textId="77777777" w:rsidR="00F203F3" w:rsidRPr="00296FD8" w:rsidRDefault="00F203F3" w:rsidP="00F203F3">
      <w:pPr>
        <w:rPr>
          <w:rFonts w:asciiTheme="minorHAnsi" w:hAnsiTheme="minorHAnsi"/>
          <w:szCs w:val="22"/>
        </w:rPr>
      </w:pPr>
    </w:p>
    <w:tbl>
      <w:tblPr>
        <w:tblStyle w:val="TableGrid"/>
        <w:tblW w:w="958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3773"/>
        <w:gridCol w:w="4968"/>
        <w:gridCol w:w="10"/>
      </w:tblGrid>
      <w:tr w:rsidR="00F203F3" w:rsidRPr="008D7440" w14:paraId="076CC9BF" w14:textId="77777777" w:rsidTr="00D65A88">
        <w:trPr>
          <w:trHeight w:val="278"/>
        </w:trPr>
        <w:tc>
          <w:tcPr>
            <w:tcW w:w="835" w:type="dxa"/>
          </w:tcPr>
          <w:p w14:paraId="317189C1" w14:textId="77777777" w:rsidR="00F203F3" w:rsidRPr="008D7440" w:rsidRDefault="00F203F3" w:rsidP="00F203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</w:t>
            </w:r>
            <w:r w:rsidRPr="008D7440">
              <w:rPr>
                <w:rFonts w:asciiTheme="minorHAnsi" w:hAnsiTheme="minorHAnsi"/>
              </w:rPr>
              <w:t>0</w:t>
            </w:r>
          </w:p>
        </w:tc>
        <w:tc>
          <w:tcPr>
            <w:tcW w:w="8751" w:type="dxa"/>
            <w:gridSpan w:val="3"/>
          </w:tcPr>
          <w:p w14:paraId="6BBE87CE" w14:textId="77777777" w:rsidR="00F203F3" w:rsidRPr="008D7440" w:rsidRDefault="00F203F3" w:rsidP="00F203F3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>Registration opens</w:t>
            </w:r>
          </w:p>
        </w:tc>
      </w:tr>
      <w:tr w:rsidR="00F203F3" w:rsidRPr="008D7440" w14:paraId="0FE48E92" w14:textId="77777777" w:rsidTr="00D65A88">
        <w:tc>
          <w:tcPr>
            <w:tcW w:w="835" w:type="dxa"/>
          </w:tcPr>
          <w:p w14:paraId="73846B0B" w14:textId="77777777" w:rsidR="00F203F3" w:rsidRPr="008D7440" w:rsidRDefault="00F203F3" w:rsidP="00F203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</w:t>
            </w:r>
            <w:r w:rsidRPr="008D7440">
              <w:rPr>
                <w:rFonts w:asciiTheme="minorHAnsi" w:hAnsiTheme="minorHAnsi"/>
              </w:rPr>
              <w:t>0</w:t>
            </w:r>
          </w:p>
        </w:tc>
        <w:tc>
          <w:tcPr>
            <w:tcW w:w="8751" w:type="dxa"/>
            <w:gridSpan w:val="3"/>
          </w:tcPr>
          <w:p w14:paraId="3A0B69DA" w14:textId="77777777" w:rsidR="00F203F3" w:rsidRPr="008D7440" w:rsidRDefault="00F203F3" w:rsidP="00F203F3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Introduction to workshop goals and brief introductions </w:t>
            </w:r>
          </w:p>
          <w:p w14:paraId="62E8968D" w14:textId="77777777" w:rsidR="00F203F3" w:rsidRPr="00755A3F" w:rsidRDefault="00F203F3" w:rsidP="00F203F3">
            <w:pPr>
              <w:contextualSpacing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  <w:i/>
              </w:rPr>
              <w:t>David Reidmiller – Director, National Climate Assessment, U.S. Global Change Research Program</w:t>
            </w:r>
          </w:p>
        </w:tc>
      </w:tr>
      <w:tr w:rsidR="00F203F3" w:rsidRPr="008D7440" w14:paraId="25BDBCED" w14:textId="77777777" w:rsidTr="00D65A88">
        <w:trPr>
          <w:trHeight w:val="2492"/>
        </w:trPr>
        <w:tc>
          <w:tcPr>
            <w:tcW w:w="835" w:type="dxa"/>
          </w:tcPr>
          <w:p w14:paraId="4E3E275E" w14:textId="77777777" w:rsidR="00F203F3" w:rsidRPr="008D7440" w:rsidRDefault="00F203F3" w:rsidP="00F203F3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9:15</w:t>
            </w:r>
          </w:p>
        </w:tc>
        <w:tc>
          <w:tcPr>
            <w:tcW w:w="8751" w:type="dxa"/>
            <w:gridSpan w:val="3"/>
          </w:tcPr>
          <w:p w14:paraId="4179210F" w14:textId="77777777" w:rsidR="00F203F3" w:rsidRPr="008D7440" w:rsidRDefault="00F203F3" w:rsidP="00F203F3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What is the National Climate Assessment? </w:t>
            </w:r>
          </w:p>
          <w:p w14:paraId="604CCAF7" w14:textId="77777777" w:rsidR="00F203F3" w:rsidRPr="008D7440" w:rsidRDefault="00F203F3" w:rsidP="00F203F3">
            <w:pPr>
              <w:pStyle w:val="ListParagraph"/>
              <w:numPr>
                <w:ilvl w:val="0"/>
                <w:numId w:val="1"/>
              </w:numPr>
              <w:ind w:left="672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Mandate, timeline, structure, etc. of NCA4</w:t>
            </w:r>
          </w:p>
          <w:p w14:paraId="4045BD61" w14:textId="77777777" w:rsidR="00AC1F7F" w:rsidRPr="008D7440" w:rsidRDefault="00AC1F7F" w:rsidP="00AC1F7F">
            <w:pPr>
              <w:pStyle w:val="ListParagraph"/>
              <w:numPr>
                <w:ilvl w:val="0"/>
                <w:numId w:val="1"/>
              </w:numPr>
              <w:ind w:left="6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findings from Northwe</w:t>
            </w:r>
            <w:r w:rsidRPr="008D7440">
              <w:rPr>
                <w:rFonts w:asciiTheme="minorHAnsi" w:hAnsiTheme="minorHAnsi"/>
              </w:rPr>
              <w:t>st chapter of NCA3</w:t>
            </w:r>
            <w:r>
              <w:rPr>
                <w:rFonts w:asciiTheme="minorHAnsi" w:hAnsiTheme="minorHAnsi"/>
              </w:rPr>
              <w:t>, focused on risk framing</w:t>
            </w:r>
          </w:p>
          <w:p w14:paraId="7D134722" w14:textId="77777777" w:rsidR="00F203F3" w:rsidRPr="008D7440" w:rsidRDefault="00F203F3" w:rsidP="00F203F3">
            <w:pPr>
              <w:pStyle w:val="ListParagraph"/>
              <w:numPr>
                <w:ilvl w:val="0"/>
                <w:numId w:val="1"/>
              </w:numPr>
              <w:ind w:left="672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Areas of desired emphasis from public comments</w:t>
            </w:r>
          </w:p>
          <w:p w14:paraId="38CE0616" w14:textId="413BCA02" w:rsidR="00AC1F7F" w:rsidRPr="008D7440" w:rsidRDefault="00AC1F7F" w:rsidP="00AC1F7F">
            <w:pPr>
              <w:pStyle w:val="ListParagraph"/>
              <w:numPr>
                <w:ilvl w:val="0"/>
                <w:numId w:val="1"/>
              </w:numPr>
              <w:ind w:left="672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 xml:space="preserve">Ways to </w:t>
            </w:r>
            <w:r w:rsidR="0063224B">
              <w:rPr>
                <w:rFonts w:asciiTheme="minorHAnsi" w:hAnsiTheme="minorHAnsi"/>
              </w:rPr>
              <w:t>stay involved</w:t>
            </w:r>
          </w:p>
          <w:p w14:paraId="0996078B" w14:textId="77777777" w:rsidR="00F203F3" w:rsidRPr="008D7440" w:rsidRDefault="00F203F3" w:rsidP="00F203F3">
            <w:pPr>
              <w:pStyle w:val="ListParagraph"/>
              <w:numPr>
                <w:ilvl w:val="0"/>
                <w:numId w:val="1"/>
              </w:numPr>
              <w:ind w:left="672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Q&amp;A</w:t>
            </w:r>
          </w:p>
          <w:p w14:paraId="729A550D" w14:textId="7072EC85" w:rsidR="00F203F3" w:rsidRPr="008D7440" w:rsidRDefault="00F203F3" w:rsidP="00AC1F7F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i/>
              </w:rPr>
              <w:t>David Reidmiller – Director, National Climate Assessment, U.S. Global Change Research Program</w:t>
            </w:r>
          </w:p>
        </w:tc>
      </w:tr>
      <w:tr w:rsidR="00AC1F7F" w:rsidRPr="008D7440" w14:paraId="09D627A6" w14:textId="77777777" w:rsidTr="00D65A88">
        <w:tc>
          <w:tcPr>
            <w:tcW w:w="835" w:type="dxa"/>
          </w:tcPr>
          <w:p w14:paraId="7B058478" w14:textId="48439704" w:rsidR="00AC1F7F" w:rsidRPr="008D7440" w:rsidRDefault="00D65A88" w:rsidP="00AC1F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</w:t>
            </w:r>
          </w:p>
        </w:tc>
        <w:tc>
          <w:tcPr>
            <w:tcW w:w="8751" w:type="dxa"/>
            <w:gridSpan w:val="3"/>
          </w:tcPr>
          <w:p w14:paraId="73A45633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>Prelim</w:t>
            </w:r>
            <w:r>
              <w:rPr>
                <w:rFonts w:asciiTheme="minorHAnsi" w:hAnsiTheme="minorHAnsi"/>
                <w:b/>
              </w:rPr>
              <w:t>inary Author Thoughts on Northwe</w:t>
            </w:r>
            <w:r w:rsidRPr="008D7440">
              <w:rPr>
                <w:rFonts w:asciiTheme="minorHAnsi" w:hAnsiTheme="minorHAnsi"/>
                <w:b/>
              </w:rPr>
              <w:t xml:space="preserve">st Chapter </w:t>
            </w:r>
          </w:p>
          <w:p w14:paraId="028BD22D" w14:textId="77777777" w:rsidR="00AC1F7F" w:rsidRPr="008D7440" w:rsidRDefault="00AC1F7F" w:rsidP="00AC1F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Introduce chapter team of authors</w:t>
            </w:r>
            <w:r>
              <w:rPr>
                <w:rFonts w:asciiTheme="minorHAnsi" w:hAnsiTheme="minorHAnsi"/>
              </w:rPr>
              <w:t xml:space="preserve"> (photos for those not present)</w:t>
            </w:r>
            <w:r>
              <w:rPr>
                <w:rFonts w:asciiTheme="minorHAnsi" w:hAnsiTheme="minorHAnsi"/>
              </w:rPr>
              <w:br/>
              <w:t>(</w:t>
            </w:r>
            <w:r>
              <w:rPr>
                <w:rFonts w:asciiTheme="minorHAnsi" w:hAnsiTheme="minorHAnsi"/>
                <w:i/>
              </w:rPr>
              <w:t>Charles Luce</w:t>
            </w:r>
            <w:r w:rsidRPr="008D7440">
              <w:rPr>
                <w:rFonts w:asciiTheme="minorHAnsi" w:hAnsiTheme="minorHAnsi"/>
                <w:i/>
              </w:rPr>
              <w:t xml:space="preserve"> – </w:t>
            </w:r>
            <w:r>
              <w:rPr>
                <w:rFonts w:asciiTheme="minorHAnsi" w:hAnsiTheme="minorHAnsi"/>
                <w:i/>
              </w:rPr>
              <w:t>USDA-USFS</w:t>
            </w:r>
            <w:r w:rsidRPr="008D7440">
              <w:rPr>
                <w:rFonts w:asciiTheme="minorHAnsi" w:hAnsiTheme="minorHAnsi"/>
                <w:i/>
              </w:rPr>
              <w:t xml:space="preserve"> and Coordinating Lead Autho</w:t>
            </w:r>
            <w:r>
              <w:rPr>
                <w:rFonts w:asciiTheme="minorHAnsi" w:hAnsiTheme="minorHAnsi"/>
                <w:i/>
              </w:rPr>
              <w:t>r of NCA4 Northwest chapter)</w:t>
            </w:r>
          </w:p>
          <w:p w14:paraId="127DE71F" w14:textId="77777777" w:rsidR="00AC1F7F" w:rsidRPr="00AC1F7F" w:rsidRDefault="00AC1F7F" w:rsidP="00AC1F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</w:rPr>
              <w:t>Present notional chapter outline</w:t>
            </w:r>
            <w:r>
              <w:rPr>
                <w:rFonts w:asciiTheme="minorHAnsi" w:hAnsiTheme="minorHAnsi"/>
              </w:rPr>
              <w:t>, sub-regional focus, &amp; draft findings for Inland NW (</w:t>
            </w:r>
            <w:r w:rsidRPr="00C573D1">
              <w:rPr>
                <w:rFonts w:asciiTheme="minorHAnsi" w:hAnsiTheme="minorHAnsi"/>
                <w:i/>
              </w:rPr>
              <w:t>Gabrielle Roesch-McNally</w:t>
            </w:r>
            <w:r>
              <w:rPr>
                <w:rFonts w:asciiTheme="minorHAnsi" w:hAnsiTheme="minorHAnsi"/>
              </w:rPr>
              <w:t xml:space="preserve"> – inland NW; </w:t>
            </w:r>
            <w:r w:rsidRPr="00C573D1">
              <w:rPr>
                <w:rFonts w:asciiTheme="minorHAnsi" w:hAnsiTheme="minorHAnsi"/>
                <w:i/>
              </w:rPr>
              <w:t>Jen Cuhacayin</w:t>
            </w:r>
            <w:r>
              <w:rPr>
                <w:rFonts w:asciiTheme="minorHAnsi" w:hAnsiTheme="minorHAnsi"/>
              </w:rPr>
              <w:t xml:space="preserve"> – mountains)</w:t>
            </w:r>
          </w:p>
          <w:p w14:paraId="34465921" w14:textId="7A39B266" w:rsidR="00AC1F7F" w:rsidRPr="008D7440" w:rsidRDefault="00AC1F7F" w:rsidP="00AC1F7F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AC1F7F" w:rsidRPr="008D7440" w14:paraId="120F20EE" w14:textId="77777777" w:rsidTr="00D65A88">
        <w:tc>
          <w:tcPr>
            <w:tcW w:w="835" w:type="dxa"/>
          </w:tcPr>
          <w:p w14:paraId="77BBCAEA" w14:textId="1D9D5DBD" w:rsidR="00AC1F7F" w:rsidRPr="008D7440" w:rsidRDefault="00AC1F7F" w:rsidP="00D65A88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10:</w:t>
            </w:r>
            <w:r w:rsidR="00D65A88">
              <w:rPr>
                <w:rFonts w:asciiTheme="minorHAnsi" w:hAnsiTheme="minorHAnsi"/>
              </w:rPr>
              <w:t>15</w:t>
            </w:r>
          </w:p>
        </w:tc>
        <w:tc>
          <w:tcPr>
            <w:tcW w:w="8751" w:type="dxa"/>
            <w:gridSpan w:val="3"/>
          </w:tcPr>
          <w:p w14:paraId="54E318F9" w14:textId="3E30C7EF" w:rsidR="00AC1F7F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BREAK</w:t>
            </w:r>
          </w:p>
          <w:p w14:paraId="3AC77CE5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AC1F7F" w:rsidRPr="008D7440" w14:paraId="00D76804" w14:textId="77777777" w:rsidTr="00D65A88">
        <w:tc>
          <w:tcPr>
            <w:tcW w:w="835" w:type="dxa"/>
          </w:tcPr>
          <w:p w14:paraId="696F05BA" w14:textId="533FFE28" w:rsidR="00AC1F7F" w:rsidRPr="008D7440" w:rsidRDefault="00AC1F7F" w:rsidP="00D65A88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10:</w:t>
            </w:r>
            <w:r w:rsidR="00D65A88">
              <w:rPr>
                <w:rFonts w:asciiTheme="minorHAnsi" w:hAnsiTheme="minorHAnsi"/>
              </w:rPr>
              <w:t>30</w:t>
            </w:r>
          </w:p>
        </w:tc>
        <w:tc>
          <w:tcPr>
            <w:tcW w:w="8751" w:type="dxa"/>
            <w:gridSpan w:val="3"/>
          </w:tcPr>
          <w:p w14:paraId="633BA468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>Stakeholder Perspectives</w:t>
            </w:r>
          </w:p>
          <w:p w14:paraId="6E449176" w14:textId="77777777" w:rsidR="00AC1F7F" w:rsidRPr="00755A3F" w:rsidRDefault="00AC1F7F" w:rsidP="00AC1F7F">
            <w:pPr>
              <w:rPr>
                <w:rFonts w:asciiTheme="minorHAnsi" w:hAnsiTheme="minorHAnsi"/>
              </w:rPr>
            </w:pPr>
            <w:r w:rsidRPr="00755A3F">
              <w:rPr>
                <w:rFonts w:asciiTheme="minorHAnsi" w:hAnsiTheme="minorHAnsi"/>
              </w:rPr>
              <w:t>Open discussion for questions on process or content; suggestions on additional areas to address (or avoid); suggestions of resources to use or case studies to highlight; etc.</w:t>
            </w:r>
          </w:p>
          <w:p w14:paraId="578D5D0B" w14:textId="77777777" w:rsidR="00AC1F7F" w:rsidRPr="008D7440" w:rsidRDefault="00AC1F7F" w:rsidP="00AC1F7F">
            <w:pPr>
              <w:pStyle w:val="ListParagraph"/>
              <w:ind w:left="41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Potential guiding questions:</w:t>
            </w:r>
          </w:p>
          <w:p w14:paraId="65374E87" w14:textId="77777777" w:rsidR="00AC1F7F" w:rsidRPr="008D7440" w:rsidRDefault="00AC1F7F" w:rsidP="00AC1F7F">
            <w:pPr>
              <w:pStyle w:val="ListParagraph"/>
              <w:numPr>
                <w:ilvl w:val="0"/>
                <w:numId w:val="4"/>
              </w:numPr>
              <w:ind w:left="77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 xml:space="preserve">What are the key attributes, assets and things </w:t>
            </w:r>
            <w:r>
              <w:rPr>
                <w:rFonts w:asciiTheme="minorHAnsi" w:hAnsiTheme="minorHAnsi"/>
              </w:rPr>
              <w:t>of greatest value to the Northwe</w:t>
            </w:r>
            <w:r w:rsidRPr="008D7440">
              <w:rPr>
                <w:rFonts w:asciiTheme="minorHAnsi" w:hAnsiTheme="minorHAnsi"/>
              </w:rPr>
              <w:t>st?</w:t>
            </w:r>
          </w:p>
          <w:p w14:paraId="15CC8197" w14:textId="77777777" w:rsidR="00AC1F7F" w:rsidRPr="008D7440" w:rsidRDefault="00AC1F7F" w:rsidP="00AC1F7F">
            <w:pPr>
              <w:pStyle w:val="ListParagraph"/>
              <w:numPr>
                <w:ilvl w:val="0"/>
                <w:numId w:val="4"/>
              </w:numPr>
              <w:ind w:left="77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And how are those things vulnerable to or at risk from climate change?</w:t>
            </w:r>
          </w:p>
          <w:p w14:paraId="61942A96" w14:textId="77777777" w:rsidR="00AC1F7F" w:rsidRDefault="00AC1F7F" w:rsidP="00AC1F7F">
            <w:pPr>
              <w:pStyle w:val="ListParagraph"/>
              <w:numPr>
                <w:ilvl w:val="0"/>
                <w:numId w:val="4"/>
              </w:numPr>
              <w:ind w:left="77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Are there resources (reports, studies, etc.) or case studies we should be aware of?</w:t>
            </w:r>
          </w:p>
          <w:p w14:paraId="0E44CF75" w14:textId="59063872" w:rsidR="00AC1F7F" w:rsidRPr="008D7440" w:rsidRDefault="00AC1F7F" w:rsidP="00D65A8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6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How have you used NCA3 in your own decision making and how can NCA4 be useful? to you?</w:t>
            </w:r>
          </w:p>
        </w:tc>
      </w:tr>
      <w:tr w:rsidR="00AC1F7F" w:rsidRPr="008D7440" w14:paraId="414DC6F4" w14:textId="77777777" w:rsidTr="00D65A88">
        <w:tc>
          <w:tcPr>
            <w:tcW w:w="835" w:type="dxa"/>
          </w:tcPr>
          <w:p w14:paraId="62BE10E2" w14:textId="5885BC22" w:rsidR="00AC1F7F" w:rsidRPr="008D7440" w:rsidRDefault="00AC1F7F" w:rsidP="00FC7D30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11:</w:t>
            </w:r>
            <w:r w:rsidR="00FC7D30">
              <w:rPr>
                <w:rFonts w:asciiTheme="minorHAnsi" w:hAnsiTheme="minorHAnsi"/>
              </w:rPr>
              <w:t>00</w:t>
            </w:r>
          </w:p>
        </w:tc>
        <w:tc>
          <w:tcPr>
            <w:tcW w:w="8751" w:type="dxa"/>
            <w:gridSpan w:val="3"/>
          </w:tcPr>
          <w:p w14:paraId="309A871E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>Charge for Break-out Groups</w:t>
            </w:r>
          </w:p>
          <w:p w14:paraId="333E671C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David</w:t>
            </w:r>
            <w:r w:rsidRPr="008D7440">
              <w:rPr>
                <w:rFonts w:asciiTheme="minorHAnsi" w:hAnsiTheme="minorHAnsi"/>
                <w:i/>
              </w:rPr>
              <w:t xml:space="preserve"> Reidmiller – Director, National Climate Assessment, U.S.</w:t>
            </w:r>
            <w:r>
              <w:rPr>
                <w:rFonts w:asciiTheme="minorHAnsi" w:hAnsiTheme="minorHAnsi"/>
                <w:i/>
              </w:rPr>
              <w:t xml:space="preserve"> Global Change Research Program</w:t>
            </w:r>
          </w:p>
          <w:p w14:paraId="7C067582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i/>
              </w:rPr>
            </w:pPr>
          </w:p>
          <w:p w14:paraId="1ED7025A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Breakout sessions A and B will cover these topics for 40 minutes each. Participants may select any breakout group, and either stay during both sessions, or rotate to a different breakout group.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5"/>
              <w:gridCol w:w="4354"/>
            </w:tblGrid>
            <w:tr w:rsidR="00AC1F7F" w:rsidRPr="008D7440" w14:paraId="7D59AD8C" w14:textId="77777777" w:rsidTr="00F203F3">
              <w:trPr>
                <w:trHeight w:val="287"/>
              </w:trPr>
              <w:tc>
                <w:tcPr>
                  <w:tcW w:w="3575" w:type="dxa"/>
                </w:tcPr>
                <w:p w14:paraId="3981EF91" w14:textId="77777777" w:rsidR="00AC1F7F" w:rsidRPr="008D7440" w:rsidRDefault="00AC1F7F" w:rsidP="00AC1F7F">
                  <w:pPr>
                    <w:contextualSpacing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8D7440">
                    <w:rPr>
                      <w:rFonts w:asciiTheme="minorHAnsi" w:hAnsiTheme="minorHAnsi"/>
                      <w:b/>
                      <w:u w:val="single"/>
                    </w:rPr>
                    <w:t>TOPIC</w:t>
                  </w:r>
                </w:p>
              </w:tc>
              <w:tc>
                <w:tcPr>
                  <w:tcW w:w="4354" w:type="dxa"/>
                </w:tcPr>
                <w:p w14:paraId="48D06258" w14:textId="77777777" w:rsidR="00AC1F7F" w:rsidRPr="008D7440" w:rsidRDefault="00AC1F7F" w:rsidP="00AC1F7F">
                  <w:pPr>
                    <w:contextualSpacing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8D7440">
                    <w:rPr>
                      <w:rFonts w:asciiTheme="minorHAnsi" w:hAnsiTheme="minorHAnsi"/>
                      <w:b/>
                      <w:u w:val="single"/>
                    </w:rPr>
                    <w:t>FACILITATORS &amp; NOTETAKERS</w:t>
                  </w:r>
                </w:p>
              </w:tc>
            </w:tr>
            <w:tr w:rsidR="00AC1F7F" w:rsidRPr="008D7440" w14:paraId="3544E114" w14:textId="77777777" w:rsidTr="00F203F3">
              <w:tc>
                <w:tcPr>
                  <w:tcW w:w="3575" w:type="dxa"/>
                </w:tcPr>
                <w:p w14:paraId="7463BD0E" w14:textId="63F1C540" w:rsidR="00AC1F7F" w:rsidRPr="008D7440" w:rsidRDefault="00AC1F7F" w:rsidP="00AC1F7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</w:rPr>
                  </w:pPr>
                  <w:r w:rsidRPr="008D7440">
                    <w:rPr>
                      <w:rFonts w:asciiTheme="minorHAnsi" w:hAnsiTheme="minorHAnsi"/>
                    </w:rPr>
                    <w:t>Water Resources</w:t>
                  </w:r>
                </w:p>
              </w:tc>
              <w:tc>
                <w:tcPr>
                  <w:tcW w:w="4354" w:type="dxa"/>
                </w:tcPr>
                <w:p w14:paraId="3158C330" w14:textId="278DBE82" w:rsidR="00AC1F7F" w:rsidRPr="00556456" w:rsidRDefault="00AC1F7F" w:rsidP="00AC1F7F">
                  <w:pP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</w:pPr>
                  <w:r w:rsidRPr="00556456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Jennifer Cuhaciyan (DOI-USBR)</w:t>
                  </w:r>
                  <w: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AC1F7F" w:rsidRPr="008D7440" w14:paraId="510D1BBE" w14:textId="77777777" w:rsidTr="00F203F3">
              <w:tc>
                <w:tcPr>
                  <w:tcW w:w="3575" w:type="dxa"/>
                </w:tcPr>
                <w:p w14:paraId="2E7B9189" w14:textId="0C8ECC86" w:rsidR="00AC1F7F" w:rsidRPr="008D7440" w:rsidRDefault="00AC1F7F" w:rsidP="00AC1F7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</w:rPr>
                  </w:pPr>
                  <w:r w:rsidRPr="008D7440">
                    <w:rPr>
                      <w:rFonts w:asciiTheme="minorHAnsi" w:hAnsiTheme="minorHAnsi"/>
                    </w:rPr>
                    <w:t>Agriculture</w:t>
                  </w:r>
                  <w:r>
                    <w:rPr>
                      <w:rFonts w:asciiTheme="minorHAnsi" w:hAnsiTheme="minorHAnsi"/>
                    </w:rPr>
                    <w:t xml:space="preserve"> &amp; Rural Issues</w:t>
                  </w:r>
                </w:p>
              </w:tc>
              <w:tc>
                <w:tcPr>
                  <w:tcW w:w="4354" w:type="dxa"/>
                </w:tcPr>
                <w:p w14:paraId="558B035E" w14:textId="77777777" w:rsidR="00AC1F7F" w:rsidRPr="00556456" w:rsidRDefault="00AC1F7F" w:rsidP="00AC1F7F">
                  <w:pPr>
                    <w:rPr>
                      <w:rFonts w:asciiTheme="minorHAnsi" w:eastAsia="Times New Roman" w:hAnsiTheme="minorHAnsi"/>
                      <w:color w:val="000000" w:themeColor="text1"/>
                      <w:szCs w:val="24"/>
                    </w:rPr>
                  </w:pPr>
                  <w:r w:rsidRPr="007777E5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Gabrielle Roesch-McNally (USFS)</w:t>
                  </w:r>
                  <w: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 &amp; David Reidmiller (USGCRP)</w:t>
                  </w:r>
                </w:p>
              </w:tc>
            </w:tr>
            <w:tr w:rsidR="00AC1F7F" w:rsidRPr="008D7440" w14:paraId="48FDCEDC" w14:textId="77777777" w:rsidTr="00F203F3">
              <w:trPr>
                <w:trHeight w:val="494"/>
              </w:trPr>
              <w:tc>
                <w:tcPr>
                  <w:tcW w:w="3575" w:type="dxa"/>
                </w:tcPr>
                <w:p w14:paraId="7EEE25C1" w14:textId="52C708C9" w:rsidR="00AC1F7F" w:rsidRPr="008D7440" w:rsidRDefault="00AC1F7F" w:rsidP="00AC1F7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Forests &amp; Natural Resources</w:t>
                  </w:r>
                </w:p>
              </w:tc>
              <w:tc>
                <w:tcPr>
                  <w:tcW w:w="4354" w:type="dxa"/>
                </w:tcPr>
                <w:p w14:paraId="112B663C" w14:textId="77777777" w:rsidR="00AC1F7F" w:rsidRPr="00556456" w:rsidRDefault="00AC1F7F" w:rsidP="00AC1F7F">
                  <w:pPr>
                    <w:rPr>
                      <w:rFonts w:asciiTheme="minorHAnsi" w:eastAsia="Times New Roman" w:hAnsiTheme="minorHAnsi"/>
                      <w:color w:val="000000" w:themeColor="text1"/>
                      <w:szCs w:val="24"/>
                    </w:rPr>
                  </w:pPr>
                  <w:r w:rsidRPr="00556456"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Charlie Luce (USDA-USFS) &amp; Susan Aragon-Long (USGCRP)</w:t>
                  </w:r>
                </w:p>
              </w:tc>
            </w:tr>
            <w:tr w:rsidR="00AC1F7F" w:rsidRPr="008D7440" w14:paraId="1D43D225" w14:textId="77777777" w:rsidTr="00F203F3">
              <w:tc>
                <w:tcPr>
                  <w:tcW w:w="3575" w:type="dxa"/>
                </w:tcPr>
                <w:p w14:paraId="4BF59734" w14:textId="77777777" w:rsidR="00AC1F7F" w:rsidRPr="008D7440" w:rsidRDefault="00AC1F7F" w:rsidP="00AC1F7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</w:rPr>
                  </w:pPr>
                  <w:r w:rsidRPr="008D7440">
                    <w:rPr>
                      <w:rFonts w:asciiTheme="minorHAnsi" w:hAnsiTheme="minorHAnsi"/>
                    </w:rPr>
                    <w:t xml:space="preserve">Human </w:t>
                  </w:r>
                  <w:r>
                    <w:rPr>
                      <w:rFonts w:asciiTheme="minorHAnsi" w:hAnsiTheme="minorHAnsi"/>
                    </w:rPr>
                    <w:t>Dimensions</w:t>
                  </w:r>
                </w:p>
              </w:tc>
              <w:tc>
                <w:tcPr>
                  <w:tcW w:w="4354" w:type="dxa"/>
                </w:tcPr>
                <w:p w14:paraId="27B67218" w14:textId="6B07CBA8" w:rsidR="00AC1F7F" w:rsidRPr="00556456" w:rsidRDefault="00AC1F7F" w:rsidP="00AC1F7F">
                  <w:pPr>
                    <w:contextualSpacing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r w:rsidRPr="007777E5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Scott Lowe (Boise St Univ)</w:t>
                  </w:r>
                  <w:r w:rsidRPr="00556456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AC1F7F" w:rsidRPr="008D7440" w14:paraId="1F75CBAA" w14:textId="77777777" w:rsidTr="00F203F3">
              <w:tc>
                <w:tcPr>
                  <w:tcW w:w="3575" w:type="dxa"/>
                </w:tcPr>
                <w:p w14:paraId="15D60EFD" w14:textId="05130018" w:rsidR="00AC1F7F" w:rsidRPr="008D7440" w:rsidRDefault="00AC1F7F" w:rsidP="00AC1F7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Additional ideas</w:t>
                  </w:r>
                </w:p>
              </w:tc>
              <w:tc>
                <w:tcPr>
                  <w:tcW w:w="4354" w:type="dxa"/>
                </w:tcPr>
                <w:p w14:paraId="5009B51C" w14:textId="39D3C6DE" w:rsidR="00AC1F7F" w:rsidRPr="007777E5" w:rsidRDefault="00AC1F7F" w:rsidP="007845BF">
                  <w:pPr>
                    <w:contextualSpacing/>
                    <w:rPr>
                      <w:rFonts w:asciiTheme="minorHAnsi" w:eastAsia="Times New Roman" w:hAnsiTheme="minorHAnsi" w:cs="Arial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Michael Ch</w:t>
                  </w:r>
                  <w:r w:rsidR="007845BF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a</w:t>
                  </w:r>
                  <w: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ng &amp; Chris Avery</w:t>
                  </w:r>
                </w:p>
              </w:tc>
            </w:tr>
          </w:tbl>
          <w:p w14:paraId="1E9161B3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</w:rPr>
            </w:pPr>
          </w:p>
          <w:p w14:paraId="4A5DC65A" w14:textId="77777777" w:rsidR="00AC1F7F" w:rsidRPr="008D7440" w:rsidRDefault="00AC1F7F" w:rsidP="00AC1F7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Introduce yourself (affiliation, area of expertise) and any role in previous NCAs</w:t>
            </w:r>
          </w:p>
          <w:p w14:paraId="0A8F38A0" w14:textId="77777777" w:rsidR="00AC1F7F" w:rsidRPr="008D7440" w:rsidRDefault="00AC1F7F" w:rsidP="00AC1F7F">
            <w:pPr>
              <w:pStyle w:val="ListParagraph"/>
              <w:numPr>
                <w:ilvl w:val="0"/>
                <w:numId w:val="1"/>
              </w:numPr>
              <w:ind w:left="52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For the given topic:</w:t>
            </w:r>
          </w:p>
          <w:p w14:paraId="337C0201" w14:textId="6094A732" w:rsidR="00AC1F7F" w:rsidRPr="008D7440" w:rsidRDefault="00AC1F7F" w:rsidP="00AC1F7F">
            <w:pPr>
              <w:pStyle w:val="ListParagraph"/>
              <w:numPr>
                <w:ilvl w:val="0"/>
                <w:numId w:val="5"/>
              </w:numPr>
              <w:ind w:left="8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there new insights about observed changes that should be highlighted?</w:t>
            </w:r>
          </w:p>
          <w:p w14:paraId="3765BCD3" w14:textId="418B2E77" w:rsidR="00AC1F7F" w:rsidRPr="008D7440" w:rsidRDefault="00AC1F7F" w:rsidP="00AC1F7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</w:t>
            </w:r>
            <w:r w:rsidRPr="008D7440">
              <w:rPr>
                <w:rFonts w:asciiTheme="minorHAnsi" w:hAnsiTheme="minorHAnsi"/>
              </w:rPr>
              <w:t xml:space="preserve"> projected </w:t>
            </w:r>
            <w:r>
              <w:rPr>
                <w:rFonts w:asciiTheme="minorHAnsi" w:hAnsiTheme="minorHAnsi"/>
              </w:rPr>
              <w:t>changes are important for</w:t>
            </w:r>
            <w:r w:rsidRPr="008D7440">
              <w:rPr>
                <w:rFonts w:asciiTheme="minorHAnsi" w:hAnsiTheme="minorHAnsi"/>
              </w:rPr>
              <w:t xml:space="preserve"> this topic in the next 20-30 years and at the end of the century (i.e., projected change)?</w:t>
            </w:r>
          </w:p>
          <w:p w14:paraId="5509CA09" w14:textId="77777777" w:rsidR="00AC1F7F" w:rsidRPr="009B5E14" w:rsidRDefault="00AC1F7F" w:rsidP="00AC1F7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78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What challenges, opportunities and success stories for addressing risk can be highlighted?</w:t>
            </w:r>
          </w:p>
          <w:p w14:paraId="73989DDF" w14:textId="77777777" w:rsidR="00AC1F7F" w:rsidRPr="008D7440" w:rsidRDefault="00AC1F7F" w:rsidP="00AC1F7F">
            <w:pPr>
              <w:pStyle w:val="ListParagraph"/>
              <w:numPr>
                <w:ilvl w:val="1"/>
                <w:numId w:val="1"/>
              </w:numPr>
              <w:ind w:left="88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What are the emerging issues and/or research gaps on this topic?</w:t>
            </w:r>
          </w:p>
          <w:p w14:paraId="40ED75B6" w14:textId="77777777" w:rsidR="00AC1F7F" w:rsidRPr="008D7440" w:rsidRDefault="00AC1F7F" w:rsidP="00AC1F7F">
            <w:pPr>
              <w:pStyle w:val="ListParagraph"/>
              <w:numPr>
                <w:ilvl w:val="1"/>
                <w:numId w:val="1"/>
              </w:numPr>
              <w:ind w:left="88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Other issues</w:t>
            </w:r>
            <w:r>
              <w:rPr>
                <w:rFonts w:asciiTheme="minorHAnsi" w:hAnsiTheme="minorHAnsi"/>
              </w:rPr>
              <w:t xml:space="preserve"> / specific case studies to highlight</w:t>
            </w:r>
            <w:r w:rsidRPr="008D7440">
              <w:rPr>
                <w:rFonts w:asciiTheme="minorHAnsi" w:hAnsiTheme="minorHAnsi"/>
              </w:rPr>
              <w:t>?</w:t>
            </w:r>
          </w:p>
          <w:p w14:paraId="1113D7E3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AC1F7F" w:rsidRPr="008D7440" w14:paraId="4A356917" w14:textId="77777777" w:rsidTr="00D65A88">
        <w:trPr>
          <w:gridAfter w:val="1"/>
          <w:wAfter w:w="10" w:type="dxa"/>
        </w:trPr>
        <w:tc>
          <w:tcPr>
            <w:tcW w:w="835" w:type="dxa"/>
          </w:tcPr>
          <w:p w14:paraId="5FD64DEA" w14:textId="5CD33391" w:rsidR="00AC1F7F" w:rsidRPr="008D7440" w:rsidRDefault="00D65A88" w:rsidP="00FC7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11:</w:t>
            </w:r>
            <w:r w:rsidR="00FC7D30">
              <w:rPr>
                <w:rFonts w:asciiTheme="minorHAnsi" w:hAnsiTheme="minorHAnsi"/>
              </w:rPr>
              <w:t>15</w:t>
            </w:r>
          </w:p>
        </w:tc>
        <w:tc>
          <w:tcPr>
            <w:tcW w:w="3773" w:type="dxa"/>
          </w:tcPr>
          <w:p w14:paraId="2BB6B892" w14:textId="77777777" w:rsidR="00FC7D30" w:rsidRPr="008D7440" w:rsidRDefault="00FC7D30" w:rsidP="00FC7D30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Break-out </w:t>
            </w:r>
            <w:r>
              <w:rPr>
                <w:rFonts w:asciiTheme="minorHAnsi" w:hAnsiTheme="minorHAnsi"/>
                <w:b/>
              </w:rPr>
              <w:t xml:space="preserve">Session </w:t>
            </w:r>
            <w:r w:rsidRPr="008D7440">
              <w:rPr>
                <w:rFonts w:asciiTheme="minorHAnsi" w:hAnsiTheme="minorHAnsi"/>
                <w:b/>
              </w:rPr>
              <w:t xml:space="preserve">A </w:t>
            </w:r>
          </w:p>
          <w:p w14:paraId="75DFF494" w14:textId="77777777" w:rsidR="00FC7D30" w:rsidRPr="008D7440" w:rsidRDefault="00FC7D30" w:rsidP="00AC1F7F">
            <w:pPr>
              <w:contextualSpacing/>
              <w:rPr>
                <w:rFonts w:asciiTheme="minorHAnsi" w:hAnsiTheme="minorHAnsi"/>
              </w:rPr>
            </w:pPr>
          </w:p>
          <w:p w14:paraId="026F81DE" w14:textId="77777777" w:rsidR="00AC1F7F" w:rsidRPr="008D7440" w:rsidRDefault="00AC1F7F" w:rsidP="00AC1F7F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968" w:type="dxa"/>
            <w:vMerge w:val="restart"/>
          </w:tcPr>
          <w:p w14:paraId="0AD5E16A" w14:textId="77777777" w:rsidR="00AC1F7F" w:rsidRPr="008D7440" w:rsidRDefault="00AC1F7F" w:rsidP="00AC1F7F">
            <w:pPr>
              <w:ind w:left="3940" w:hanging="2150"/>
              <w:contextualSpacing/>
              <w:rPr>
                <w:rFonts w:asciiTheme="minorHAnsi" w:hAnsiTheme="minorHAnsi"/>
                <w:b/>
              </w:rPr>
            </w:pPr>
          </w:p>
        </w:tc>
      </w:tr>
      <w:tr w:rsidR="00AC1F7F" w:rsidRPr="008D7440" w14:paraId="0AAFC3C7" w14:textId="77777777" w:rsidTr="00D65A88">
        <w:trPr>
          <w:gridAfter w:val="1"/>
          <w:wAfter w:w="10" w:type="dxa"/>
        </w:trPr>
        <w:tc>
          <w:tcPr>
            <w:tcW w:w="835" w:type="dxa"/>
          </w:tcPr>
          <w:p w14:paraId="7E0D700F" w14:textId="37A86A7A" w:rsidR="00AC1F7F" w:rsidRPr="008D7440" w:rsidRDefault="00AC1F7F" w:rsidP="00D65A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</w:t>
            </w:r>
            <w:r w:rsidR="00D65A88">
              <w:rPr>
                <w:rFonts w:asciiTheme="minorHAnsi" w:hAnsiTheme="minorHAnsi"/>
              </w:rPr>
              <w:t>00</w:t>
            </w:r>
          </w:p>
        </w:tc>
        <w:tc>
          <w:tcPr>
            <w:tcW w:w="3773" w:type="dxa"/>
          </w:tcPr>
          <w:p w14:paraId="6490E2C3" w14:textId="77777777" w:rsidR="00AC1F7F" w:rsidRDefault="00AC1F7F" w:rsidP="00AC1F7F">
            <w:pPr>
              <w:contextualSpacing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  <w:b/>
              </w:rPr>
              <w:t>WORKING LUNCH</w:t>
            </w:r>
            <w:r w:rsidRPr="008D7440">
              <w:rPr>
                <w:rFonts w:asciiTheme="minorHAnsi" w:hAnsiTheme="minorHAnsi"/>
              </w:rPr>
              <w:t xml:space="preserve"> </w:t>
            </w:r>
          </w:p>
          <w:p w14:paraId="5622E0B4" w14:textId="77777777" w:rsidR="00FC7D30" w:rsidRDefault="00FC7D30" w:rsidP="00FC7D30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Participants self-serve lunch </w:t>
            </w:r>
          </w:p>
          <w:p w14:paraId="45DBBCAC" w14:textId="77777777" w:rsidR="00AC1F7F" w:rsidRPr="008D7440" w:rsidRDefault="00AC1F7F" w:rsidP="00FC7D30">
            <w:pPr>
              <w:contextualSpacing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968" w:type="dxa"/>
            <w:vMerge/>
          </w:tcPr>
          <w:p w14:paraId="19E1E8E1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AC1F7F" w:rsidRPr="008D7440" w14:paraId="104DE532" w14:textId="77777777" w:rsidTr="00D65A88">
        <w:trPr>
          <w:gridAfter w:val="1"/>
          <w:wAfter w:w="10" w:type="dxa"/>
        </w:trPr>
        <w:tc>
          <w:tcPr>
            <w:tcW w:w="835" w:type="dxa"/>
          </w:tcPr>
          <w:p w14:paraId="13F65A13" w14:textId="66F3DE50" w:rsidR="00AC1F7F" w:rsidRPr="008D7440" w:rsidRDefault="00D65A88" w:rsidP="00FC7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</w:t>
            </w:r>
            <w:r w:rsidR="00FC7D3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773" w:type="dxa"/>
          </w:tcPr>
          <w:p w14:paraId="6CEA47E4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Break-out </w:t>
            </w:r>
            <w:r>
              <w:rPr>
                <w:rFonts w:asciiTheme="minorHAnsi" w:hAnsiTheme="minorHAnsi"/>
                <w:b/>
              </w:rPr>
              <w:t xml:space="preserve">Session </w:t>
            </w:r>
            <w:r w:rsidRPr="008D7440">
              <w:rPr>
                <w:rFonts w:asciiTheme="minorHAnsi" w:hAnsiTheme="minorHAnsi"/>
                <w:b/>
              </w:rPr>
              <w:t xml:space="preserve">B </w:t>
            </w:r>
          </w:p>
          <w:p w14:paraId="72D4F07C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4968" w:type="dxa"/>
            <w:vMerge/>
          </w:tcPr>
          <w:p w14:paraId="6E1AAC38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AC1F7F" w:rsidRPr="008D7440" w14:paraId="6414844E" w14:textId="77777777" w:rsidTr="00D65A88">
        <w:tc>
          <w:tcPr>
            <w:tcW w:w="835" w:type="dxa"/>
          </w:tcPr>
          <w:p w14:paraId="5A088266" w14:textId="4F76D4D5" w:rsidR="00AC1F7F" w:rsidRPr="00631666" w:rsidRDefault="00D65A88" w:rsidP="00FC7D3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1:</w:t>
            </w:r>
            <w:r w:rsidR="00FC7D30">
              <w:rPr>
                <w:rFonts w:asciiTheme="minorHAnsi" w:hAnsiTheme="minorHAnsi"/>
                <w:b/>
                <w:i/>
              </w:rPr>
              <w:t>0</w:t>
            </w:r>
            <w:r>
              <w:rPr>
                <w:rFonts w:asciiTheme="minorHAnsi" w:hAnsiTheme="minorHAnsi"/>
                <w:b/>
                <w:i/>
              </w:rPr>
              <w:t>0</w:t>
            </w:r>
          </w:p>
        </w:tc>
        <w:tc>
          <w:tcPr>
            <w:tcW w:w="8751" w:type="dxa"/>
            <w:gridSpan w:val="3"/>
          </w:tcPr>
          <w:p w14:paraId="137F6E48" w14:textId="2F3CEECB" w:rsidR="00AC1F7F" w:rsidRPr="00631666" w:rsidRDefault="00AC1F7F" w:rsidP="00AC1F7F">
            <w:pPr>
              <w:contextualSpacing/>
              <w:rPr>
                <w:rFonts w:asciiTheme="minorHAnsi" w:hAnsiTheme="minorHAnsi"/>
                <w:b/>
                <w:i/>
              </w:rPr>
            </w:pPr>
            <w:r w:rsidRPr="00631666">
              <w:rPr>
                <w:rFonts w:asciiTheme="minorHAnsi" w:hAnsiTheme="minorHAnsi"/>
                <w:b/>
                <w:i/>
              </w:rPr>
              <w:t>BREAK</w:t>
            </w:r>
            <w:r w:rsidR="00FC7D30">
              <w:rPr>
                <w:rFonts w:asciiTheme="minorHAnsi" w:hAnsiTheme="minorHAnsi"/>
                <w:b/>
                <w:i/>
              </w:rPr>
              <w:t xml:space="preserve"> &amp; Setup for Read-out</w:t>
            </w:r>
          </w:p>
          <w:p w14:paraId="1AB670DD" w14:textId="77777777" w:rsidR="00AC1F7F" w:rsidRPr="00631666" w:rsidRDefault="00AC1F7F" w:rsidP="00AC1F7F">
            <w:pPr>
              <w:contextualSpacing/>
              <w:rPr>
                <w:rFonts w:asciiTheme="minorHAnsi" w:hAnsiTheme="minorHAnsi"/>
                <w:b/>
                <w:i/>
              </w:rPr>
            </w:pPr>
          </w:p>
        </w:tc>
      </w:tr>
      <w:tr w:rsidR="00AC1F7F" w:rsidRPr="008D7440" w14:paraId="58846572" w14:textId="77777777" w:rsidTr="00D65A88">
        <w:tc>
          <w:tcPr>
            <w:tcW w:w="835" w:type="dxa"/>
          </w:tcPr>
          <w:p w14:paraId="0224A31E" w14:textId="6B6FAF1E" w:rsidR="00AC1F7F" w:rsidRPr="008D7440" w:rsidRDefault="00D65A88" w:rsidP="00FC7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FC7D3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751" w:type="dxa"/>
            <w:gridSpan w:val="3"/>
          </w:tcPr>
          <w:p w14:paraId="52927643" w14:textId="77777777" w:rsidR="00AC1F7F" w:rsidRDefault="00AC1F7F" w:rsidP="00AC1F7F">
            <w:pPr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Water Resources Read-out </w:t>
            </w:r>
          </w:p>
          <w:p w14:paraId="57CFC34E" w14:textId="77777777" w:rsidR="00AC1F7F" w:rsidRPr="008D7440" w:rsidRDefault="00AC1F7F" w:rsidP="00AC1F7F">
            <w:pPr>
              <w:rPr>
                <w:rFonts w:asciiTheme="minorHAnsi" w:hAnsiTheme="minorHAnsi"/>
                <w:b/>
              </w:rPr>
            </w:pPr>
          </w:p>
        </w:tc>
      </w:tr>
      <w:tr w:rsidR="00AC1F7F" w:rsidRPr="008D7440" w14:paraId="6CC32509" w14:textId="77777777" w:rsidTr="00D65A88">
        <w:trPr>
          <w:trHeight w:val="485"/>
        </w:trPr>
        <w:tc>
          <w:tcPr>
            <w:tcW w:w="835" w:type="dxa"/>
          </w:tcPr>
          <w:p w14:paraId="6A34A5A5" w14:textId="24BD633D" w:rsidR="00AC1F7F" w:rsidRPr="008D7440" w:rsidRDefault="00FC7D30" w:rsidP="00D65A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1:35</w:t>
            </w:r>
          </w:p>
        </w:tc>
        <w:tc>
          <w:tcPr>
            <w:tcW w:w="8751" w:type="dxa"/>
            <w:gridSpan w:val="3"/>
          </w:tcPr>
          <w:p w14:paraId="00C3A5FA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Agriculture &amp; Rural Issues</w:t>
            </w:r>
            <w:r w:rsidRPr="008D7440">
              <w:rPr>
                <w:rFonts w:asciiTheme="minorHAnsi" w:hAnsiTheme="minorHAnsi"/>
                <w:b/>
              </w:rPr>
              <w:t xml:space="preserve"> Read-out </w:t>
            </w:r>
          </w:p>
        </w:tc>
      </w:tr>
      <w:tr w:rsidR="00AC1F7F" w:rsidRPr="008D7440" w14:paraId="4F223CE0" w14:textId="77777777" w:rsidTr="00D65A88">
        <w:tc>
          <w:tcPr>
            <w:tcW w:w="835" w:type="dxa"/>
          </w:tcPr>
          <w:p w14:paraId="1570B379" w14:textId="38748D21" w:rsidR="00AC1F7F" w:rsidRPr="008D7440" w:rsidRDefault="00D65A88" w:rsidP="00FC7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FC7D30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751" w:type="dxa"/>
            <w:gridSpan w:val="3"/>
          </w:tcPr>
          <w:p w14:paraId="5119F1D0" w14:textId="77777777" w:rsidR="00AC1F7F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Forests &amp; Natural Resources</w:t>
            </w:r>
            <w:r w:rsidRPr="008D7440">
              <w:rPr>
                <w:rFonts w:asciiTheme="minorHAnsi" w:hAnsiTheme="minorHAnsi"/>
                <w:b/>
              </w:rPr>
              <w:t xml:space="preserve"> Read-out </w:t>
            </w:r>
          </w:p>
          <w:p w14:paraId="216F8A88" w14:textId="77777777" w:rsidR="00AC1F7F" w:rsidRPr="008D7440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AC1F7F" w:rsidRPr="008D7440" w14:paraId="0EDE3899" w14:textId="77777777" w:rsidTr="00D65A88">
        <w:tc>
          <w:tcPr>
            <w:tcW w:w="835" w:type="dxa"/>
          </w:tcPr>
          <w:p w14:paraId="6F86436D" w14:textId="24C068F4" w:rsidR="00AC1F7F" w:rsidRPr="008D7440" w:rsidRDefault="00D65A88" w:rsidP="00FC7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FC7D3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751" w:type="dxa"/>
            <w:gridSpan w:val="3"/>
          </w:tcPr>
          <w:p w14:paraId="3C12B3BA" w14:textId="77777777" w:rsidR="00AC1F7F" w:rsidRDefault="00AC1F7F" w:rsidP="00AC1F7F">
            <w:pPr>
              <w:contextualSpacing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  <w:b/>
              </w:rPr>
              <w:t>Additional Ideas Read-out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78D7EE4F" w14:textId="7532B45A" w:rsidR="00AC1F7F" w:rsidRPr="008D7440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AC1F7F" w:rsidRPr="008D7440" w14:paraId="05354D51" w14:textId="77777777" w:rsidTr="00D65A88">
        <w:trPr>
          <w:trHeight w:val="485"/>
        </w:trPr>
        <w:tc>
          <w:tcPr>
            <w:tcW w:w="835" w:type="dxa"/>
          </w:tcPr>
          <w:p w14:paraId="7E2E0EA2" w14:textId="49CBAF6E" w:rsidR="00AC1F7F" w:rsidRPr="008D7440" w:rsidRDefault="00FC7D30" w:rsidP="00AC1F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</w:t>
            </w:r>
          </w:p>
        </w:tc>
        <w:tc>
          <w:tcPr>
            <w:tcW w:w="8751" w:type="dxa"/>
            <w:gridSpan w:val="3"/>
          </w:tcPr>
          <w:p w14:paraId="3485B2B3" w14:textId="77777777" w:rsidR="00AC1F7F" w:rsidRPr="00631666" w:rsidRDefault="00AC1F7F" w:rsidP="00AC1F7F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>Wrap-up &amp; Next Steps</w:t>
            </w:r>
          </w:p>
          <w:p w14:paraId="47F460E0" w14:textId="2881CFCE" w:rsidR="00AC1F7F" w:rsidRPr="00631666" w:rsidRDefault="00AC1F7F" w:rsidP="00AC1F7F">
            <w:pPr>
              <w:contextualSpacing/>
              <w:rPr>
                <w:rFonts w:asciiTheme="minorHAnsi" w:hAnsiTheme="minorHAnsi"/>
              </w:rPr>
            </w:pPr>
          </w:p>
        </w:tc>
      </w:tr>
      <w:tr w:rsidR="00AC1F7F" w:rsidRPr="008D7440" w14:paraId="361165EF" w14:textId="77777777" w:rsidTr="00D65A88">
        <w:tc>
          <w:tcPr>
            <w:tcW w:w="835" w:type="dxa"/>
          </w:tcPr>
          <w:p w14:paraId="68E3CB07" w14:textId="336B1CCF" w:rsidR="00AC1F7F" w:rsidRPr="008D7440" w:rsidRDefault="00D65A88" w:rsidP="00AC1F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C7D30">
              <w:rPr>
                <w:rFonts w:asciiTheme="minorHAnsi" w:hAnsiTheme="minorHAnsi"/>
              </w:rPr>
              <w:t>:0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751" w:type="dxa"/>
            <w:gridSpan w:val="3"/>
          </w:tcPr>
          <w:p w14:paraId="01A8715B" w14:textId="4BD8A7D1" w:rsidR="00AC1F7F" w:rsidRPr="008D7440" w:rsidRDefault="00AC1F7F" w:rsidP="00D65A88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ADJOURN</w:t>
            </w:r>
          </w:p>
        </w:tc>
      </w:tr>
    </w:tbl>
    <w:p w14:paraId="7E107121" w14:textId="52CBDA9E" w:rsidR="00F203F3" w:rsidRDefault="00F203F3" w:rsidP="00D65A88"/>
    <w:sectPr w:rsidR="00F203F3" w:rsidSect="00982C56">
      <w:footerReference w:type="even" r:id="rId7"/>
      <w:footerReference w:type="default" r:id="rId8"/>
      <w:pgSz w:w="12240" w:h="15840"/>
      <w:pgMar w:top="1440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B7788" w14:textId="77777777" w:rsidR="00652B6C" w:rsidRDefault="00652B6C" w:rsidP="000E0760">
      <w:r>
        <w:separator/>
      </w:r>
    </w:p>
  </w:endnote>
  <w:endnote w:type="continuationSeparator" w:id="0">
    <w:p w14:paraId="57567353" w14:textId="77777777" w:rsidR="00652B6C" w:rsidRDefault="00652B6C" w:rsidP="000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37C6" w14:textId="77777777" w:rsidR="00EF5006" w:rsidRDefault="00EF5006" w:rsidP="00404B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E7143" w14:textId="77777777" w:rsidR="00EF5006" w:rsidRDefault="00EF5006" w:rsidP="000E07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4792F" w14:textId="77777777" w:rsidR="00EF5006" w:rsidRPr="00296FD8" w:rsidRDefault="00EF5006" w:rsidP="00296FD8">
    <w:pPr>
      <w:pStyle w:val="Footer"/>
      <w:framePr w:h="337" w:hRule="exact" w:wrap="none" w:vAnchor="text" w:hAnchor="margin" w:xAlign="right" w:y="-83"/>
      <w:rPr>
        <w:rStyle w:val="PageNumber"/>
        <w:rFonts w:asciiTheme="minorHAnsi" w:hAnsiTheme="minorHAnsi"/>
      </w:rPr>
    </w:pPr>
    <w:r w:rsidRPr="00296FD8">
      <w:rPr>
        <w:rStyle w:val="PageNumber"/>
        <w:rFonts w:asciiTheme="minorHAnsi" w:hAnsiTheme="minorHAnsi"/>
      </w:rPr>
      <w:fldChar w:fldCharType="begin"/>
    </w:r>
    <w:r w:rsidRPr="00296FD8">
      <w:rPr>
        <w:rStyle w:val="PageNumber"/>
        <w:rFonts w:asciiTheme="minorHAnsi" w:hAnsiTheme="minorHAnsi"/>
      </w:rPr>
      <w:instrText xml:space="preserve">PAGE  </w:instrText>
    </w:r>
    <w:r w:rsidRPr="00296FD8">
      <w:rPr>
        <w:rStyle w:val="PageNumber"/>
        <w:rFonts w:asciiTheme="minorHAnsi" w:hAnsiTheme="minorHAnsi"/>
      </w:rPr>
      <w:fldChar w:fldCharType="separate"/>
    </w:r>
    <w:r w:rsidR="00652B6C">
      <w:rPr>
        <w:rStyle w:val="PageNumber"/>
        <w:rFonts w:asciiTheme="minorHAnsi" w:hAnsiTheme="minorHAnsi"/>
        <w:noProof/>
      </w:rPr>
      <w:t>1</w:t>
    </w:r>
    <w:r w:rsidRPr="00296FD8">
      <w:rPr>
        <w:rStyle w:val="PageNumber"/>
        <w:rFonts w:asciiTheme="minorHAnsi" w:hAnsiTheme="minorHAnsi"/>
      </w:rPr>
      <w:fldChar w:fldCharType="end"/>
    </w:r>
  </w:p>
  <w:p w14:paraId="4B29CD7A" w14:textId="77777777" w:rsidR="00EF5006" w:rsidRDefault="00EF5006" w:rsidP="000E07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2C31F" w14:textId="77777777" w:rsidR="00652B6C" w:rsidRDefault="00652B6C" w:rsidP="000E0760">
      <w:r>
        <w:separator/>
      </w:r>
    </w:p>
  </w:footnote>
  <w:footnote w:type="continuationSeparator" w:id="0">
    <w:p w14:paraId="617CC867" w14:textId="77777777" w:rsidR="00652B6C" w:rsidRDefault="00652B6C" w:rsidP="000E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EAF"/>
    <w:multiLevelType w:val="hybridMultilevel"/>
    <w:tmpl w:val="66EE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37E1"/>
    <w:multiLevelType w:val="hybridMultilevel"/>
    <w:tmpl w:val="E5C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198E"/>
    <w:multiLevelType w:val="hybridMultilevel"/>
    <w:tmpl w:val="B162A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66497"/>
    <w:multiLevelType w:val="hybridMultilevel"/>
    <w:tmpl w:val="6C78A9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625B3F"/>
    <w:multiLevelType w:val="hybridMultilevel"/>
    <w:tmpl w:val="89C85194"/>
    <w:lvl w:ilvl="0" w:tplc="C3820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D283BC5"/>
    <w:multiLevelType w:val="hybridMultilevel"/>
    <w:tmpl w:val="45427C52"/>
    <w:lvl w:ilvl="0" w:tplc="C3820BF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57DC5B9E"/>
    <w:multiLevelType w:val="hybridMultilevel"/>
    <w:tmpl w:val="FC1677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630B07"/>
    <w:multiLevelType w:val="hybridMultilevel"/>
    <w:tmpl w:val="686A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6014B"/>
    <w:multiLevelType w:val="multilevel"/>
    <w:tmpl w:val="45427C52"/>
    <w:lvl w:ilvl="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78D84012"/>
    <w:multiLevelType w:val="hybridMultilevel"/>
    <w:tmpl w:val="66EE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60"/>
    <w:rsid w:val="00065DC6"/>
    <w:rsid w:val="000B17A2"/>
    <w:rsid w:val="000B3719"/>
    <w:rsid w:val="000E0760"/>
    <w:rsid w:val="000E2E68"/>
    <w:rsid w:val="0015064F"/>
    <w:rsid w:val="001B10D7"/>
    <w:rsid w:val="001D6637"/>
    <w:rsid w:val="001E70EE"/>
    <w:rsid w:val="001F31DC"/>
    <w:rsid w:val="001F4E75"/>
    <w:rsid w:val="00205CBD"/>
    <w:rsid w:val="002369A5"/>
    <w:rsid w:val="002645C7"/>
    <w:rsid w:val="00296FD8"/>
    <w:rsid w:val="002A06FC"/>
    <w:rsid w:val="002F4BB2"/>
    <w:rsid w:val="002F7887"/>
    <w:rsid w:val="00355613"/>
    <w:rsid w:val="003A0605"/>
    <w:rsid w:val="003C3DF9"/>
    <w:rsid w:val="003E0728"/>
    <w:rsid w:val="00404B76"/>
    <w:rsid w:val="00423373"/>
    <w:rsid w:val="004871FA"/>
    <w:rsid w:val="004C2623"/>
    <w:rsid w:val="004D4B0F"/>
    <w:rsid w:val="00556456"/>
    <w:rsid w:val="00571D33"/>
    <w:rsid w:val="005D6644"/>
    <w:rsid w:val="00631666"/>
    <w:rsid w:val="0063224B"/>
    <w:rsid w:val="00652B6C"/>
    <w:rsid w:val="00671AB5"/>
    <w:rsid w:val="00694497"/>
    <w:rsid w:val="006D79E5"/>
    <w:rsid w:val="00755A3F"/>
    <w:rsid w:val="007706BD"/>
    <w:rsid w:val="007777E5"/>
    <w:rsid w:val="007845BF"/>
    <w:rsid w:val="007C166D"/>
    <w:rsid w:val="007C2CA3"/>
    <w:rsid w:val="007F03B7"/>
    <w:rsid w:val="008443D1"/>
    <w:rsid w:val="00877989"/>
    <w:rsid w:val="008D139D"/>
    <w:rsid w:val="008F0436"/>
    <w:rsid w:val="00950F43"/>
    <w:rsid w:val="009715E7"/>
    <w:rsid w:val="00972820"/>
    <w:rsid w:val="00982C56"/>
    <w:rsid w:val="00986323"/>
    <w:rsid w:val="009A22CC"/>
    <w:rsid w:val="009B53BA"/>
    <w:rsid w:val="009B5E14"/>
    <w:rsid w:val="009C0332"/>
    <w:rsid w:val="00AA284E"/>
    <w:rsid w:val="00AC1F7F"/>
    <w:rsid w:val="00AD6BDC"/>
    <w:rsid w:val="00B12D54"/>
    <w:rsid w:val="00B160D1"/>
    <w:rsid w:val="00BC4FDC"/>
    <w:rsid w:val="00C44771"/>
    <w:rsid w:val="00C573D1"/>
    <w:rsid w:val="00CC4DC4"/>
    <w:rsid w:val="00D01B1C"/>
    <w:rsid w:val="00D47498"/>
    <w:rsid w:val="00D65A88"/>
    <w:rsid w:val="00E14A12"/>
    <w:rsid w:val="00E5406A"/>
    <w:rsid w:val="00EF5006"/>
    <w:rsid w:val="00F203F3"/>
    <w:rsid w:val="00F24DB3"/>
    <w:rsid w:val="00F436A0"/>
    <w:rsid w:val="00F96FBB"/>
    <w:rsid w:val="00FC241A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F283E"/>
  <w14:defaultImageDpi w14:val="32767"/>
  <w15:docId w15:val="{BC340C79-6963-4DA0-B76A-3CB0BA39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60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760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760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0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760"/>
    <w:rPr>
      <w:rFonts w:ascii="Times New Roman" w:eastAsia="Arial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E0760"/>
  </w:style>
  <w:style w:type="character" w:styleId="Hyperlink">
    <w:name w:val="Hyperlink"/>
    <w:basedOn w:val="DefaultParagraphFont"/>
    <w:uiPriority w:val="99"/>
    <w:unhideWhenUsed/>
    <w:rsid w:val="000E07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FD8"/>
    <w:rPr>
      <w:rFonts w:ascii="Times New Roman" w:eastAsia="Arial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71"/>
    <w:rPr>
      <w:rFonts w:ascii="Times New Roman" w:eastAsia="Arial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71"/>
    <w:rPr>
      <w:rFonts w:ascii="Times New Roman" w:eastAsia="Arial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7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Gucker, Corey - FS, Boise, ID</cp:lastModifiedBy>
  <cp:revision>2</cp:revision>
  <cp:lastPrinted>2017-02-07T01:33:00Z</cp:lastPrinted>
  <dcterms:created xsi:type="dcterms:W3CDTF">2017-03-08T16:28:00Z</dcterms:created>
  <dcterms:modified xsi:type="dcterms:W3CDTF">2017-03-08T16:28:00Z</dcterms:modified>
</cp:coreProperties>
</file>